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7B37" w:rsidRPr="00E612D6" w:rsidRDefault="00E07B37" w:rsidP="00E612D6">
      <w:pPr>
        <w:tabs>
          <w:tab w:val="left" w:pos="7200"/>
        </w:tabs>
        <w:spacing w:line="480" w:lineRule="auto"/>
        <w:jc w:val="center"/>
        <w:rPr>
          <w:rFonts w:ascii="Times New Roman" w:hAnsi="Times New Roman" w:cs="Times New Roman"/>
          <w:sz w:val="24"/>
          <w:szCs w:val="24"/>
        </w:rPr>
      </w:pPr>
    </w:p>
    <w:p w:rsidR="00E07B37" w:rsidRDefault="00E07B37" w:rsidP="00E612D6">
      <w:pPr>
        <w:spacing w:line="480" w:lineRule="auto"/>
        <w:jc w:val="center"/>
        <w:rPr>
          <w:rFonts w:ascii="Times New Roman" w:hAnsi="Times New Roman" w:cs="Times New Roman"/>
          <w:sz w:val="24"/>
          <w:szCs w:val="24"/>
        </w:rPr>
      </w:pPr>
    </w:p>
    <w:p w:rsidR="0072377A" w:rsidRPr="00E612D6" w:rsidRDefault="0072377A" w:rsidP="00E612D6">
      <w:pPr>
        <w:spacing w:line="480" w:lineRule="auto"/>
        <w:jc w:val="center"/>
        <w:rPr>
          <w:rFonts w:ascii="Times New Roman" w:hAnsi="Times New Roman" w:cs="Times New Roman"/>
          <w:sz w:val="24"/>
          <w:szCs w:val="24"/>
        </w:rPr>
      </w:pPr>
      <w:bookmarkStart w:id="0" w:name="_GoBack"/>
      <w:bookmarkEnd w:id="0"/>
    </w:p>
    <w:p w:rsidR="00E07B37" w:rsidRPr="00E612D6" w:rsidRDefault="00E07B37" w:rsidP="00E612D6">
      <w:pPr>
        <w:spacing w:line="480" w:lineRule="auto"/>
        <w:jc w:val="center"/>
        <w:rPr>
          <w:rFonts w:ascii="Times New Roman" w:hAnsi="Times New Roman" w:cs="Times New Roman"/>
          <w:sz w:val="24"/>
          <w:szCs w:val="24"/>
        </w:rPr>
      </w:pPr>
    </w:p>
    <w:p w:rsidR="00E07B37" w:rsidRPr="00E612D6" w:rsidRDefault="00E07B37" w:rsidP="00E612D6">
      <w:pPr>
        <w:spacing w:line="480" w:lineRule="auto"/>
        <w:jc w:val="center"/>
        <w:rPr>
          <w:rFonts w:ascii="Times New Roman" w:hAnsi="Times New Roman" w:cs="Times New Roman"/>
          <w:sz w:val="24"/>
          <w:szCs w:val="24"/>
        </w:rPr>
      </w:pPr>
    </w:p>
    <w:p w:rsidR="00E07B37" w:rsidRPr="00E612D6" w:rsidRDefault="00E07B37" w:rsidP="00E612D6">
      <w:pPr>
        <w:spacing w:line="480" w:lineRule="auto"/>
        <w:jc w:val="center"/>
        <w:rPr>
          <w:rFonts w:ascii="Times New Roman" w:hAnsi="Times New Roman" w:cs="Times New Roman"/>
          <w:sz w:val="24"/>
          <w:szCs w:val="24"/>
        </w:rPr>
      </w:pPr>
      <w:r w:rsidRPr="00E612D6">
        <w:rPr>
          <w:rFonts w:ascii="Times New Roman" w:hAnsi="Times New Roman" w:cs="Times New Roman"/>
          <w:sz w:val="24"/>
          <w:szCs w:val="24"/>
        </w:rPr>
        <w:t>Journal Entry</w:t>
      </w:r>
    </w:p>
    <w:p w:rsidR="00E07B37" w:rsidRPr="00E612D6" w:rsidRDefault="0072377A" w:rsidP="00E612D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07B37" w:rsidRPr="00E612D6" w:rsidRDefault="0072377A" w:rsidP="00E612D6">
      <w:pPr>
        <w:tabs>
          <w:tab w:val="center" w:pos="4680"/>
          <w:tab w:val="left" w:pos="6645"/>
          <w:tab w:val="left" w:pos="7695"/>
        </w:tabs>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E07B37" w:rsidRPr="00E612D6" w:rsidRDefault="00E07B37" w:rsidP="00E612D6">
      <w:pPr>
        <w:spacing w:line="480" w:lineRule="auto"/>
        <w:jc w:val="center"/>
        <w:rPr>
          <w:rFonts w:ascii="Times New Roman" w:hAnsi="Times New Roman" w:cs="Times New Roman"/>
          <w:sz w:val="24"/>
          <w:szCs w:val="24"/>
        </w:rPr>
      </w:pPr>
    </w:p>
    <w:p w:rsidR="00E07B37" w:rsidRPr="00E612D6" w:rsidRDefault="00E07B37" w:rsidP="00E612D6">
      <w:pPr>
        <w:spacing w:line="480" w:lineRule="auto"/>
        <w:jc w:val="center"/>
        <w:rPr>
          <w:rFonts w:ascii="Times New Roman" w:hAnsi="Times New Roman" w:cs="Times New Roman"/>
          <w:sz w:val="24"/>
          <w:szCs w:val="24"/>
        </w:rPr>
      </w:pPr>
    </w:p>
    <w:p w:rsidR="00E07B37" w:rsidRPr="00E612D6" w:rsidRDefault="00E07B37" w:rsidP="00E612D6">
      <w:pPr>
        <w:spacing w:line="480" w:lineRule="auto"/>
        <w:jc w:val="center"/>
        <w:rPr>
          <w:rFonts w:ascii="Times New Roman" w:hAnsi="Times New Roman" w:cs="Times New Roman"/>
          <w:sz w:val="24"/>
          <w:szCs w:val="24"/>
        </w:rPr>
      </w:pPr>
    </w:p>
    <w:p w:rsidR="00E07B37" w:rsidRPr="00E612D6" w:rsidRDefault="00E07B37" w:rsidP="00E612D6">
      <w:pPr>
        <w:spacing w:line="480" w:lineRule="auto"/>
        <w:jc w:val="center"/>
        <w:rPr>
          <w:rFonts w:ascii="Times New Roman" w:hAnsi="Times New Roman" w:cs="Times New Roman"/>
          <w:sz w:val="24"/>
          <w:szCs w:val="24"/>
        </w:rPr>
      </w:pPr>
    </w:p>
    <w:p w:rsidR="00E07B37" w:rsidRPr="00E612D6" w:rsidRDefault="00E07B37" w:rsidP="00E612D6">
      <w:pPr>
        <w:spacing w:line="480" w:lineRule="auto"/>
        <w:jc w:val="center"/>
        <w:rPr>
          <w:rFonts w:ascii="Times New Roman" w:hAnsi="Times New Roman" w:cs="Times New Roman"/>
          <w:sz w:val="24"/>
          <w:szCs w:val="24"/>
        </w:rPr>
      </w:pPr>
    </w:p>
    <w:p w:rsidR="00E07B37" w:rsidRPr="00E612D6" w:rsidRDefault="00E07B37" w:rsidP="00E612D6">
      <w:pPr>
        <w:spacing w:line="480" w:lineRule="auto"/>
        <w:jc w:val="center"/>
        <w:rPr>
          <w:rFonts w:ascii="Times New Roman" w:hAnsi="Times New Roman" w:cs="Times New Roman"/>
          <w:sz w:val="24"/>
          <w:szCs w:val="24"/>
          <w:shd w:val="clear" w:color="auto" w:fill="FFFFFF"/>
        </w:rPr>
      </w:pPr>
    </w:p>
    <w:p w:rsidR="00E07B37" w:rsidRPr="00E612D6" w:rsidRDefault="00E07B37" w:rsidP="00E612D6">
      <w:pPr>
        <w:spacing w:line="480" w:lineRule="auto"/>
        <w:jc w:val="center"/>
        <w:rPr>
          <w:rFonts w:ascii="Times New Roman" w:hAnsi="Times New Roman" w:cs="Times New Roman"/>
          <w:sz w:val="24"/>
          <w:szCs w:val="24"/>
          <w:shd w:val="clear" w:color="auto" w:fill="FFFFFF"/>
        </w:rPr>
      </w:pPr>
    </w:p>
    <w:p w:rsidR="0072377A" w:rsidRDefault="0072377A">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E07B37" w:rsidRPr="0072377A" w:rsidRDefault="0072377A" w:rsidP="0072377A">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Journal Entry</w:t>
      </w:r>
    </w:p>
    <w:p w:rsidR="00E07B37" w:rsidRPr="00E612D6" w:rsidRDefault="00CF6E98" w:rsidP="00E612D6">
      <w:pPr>
        <w:spacing w:line="480" w:lineRule="auto"/>
        <w:ind w:firstLine="720"/>
        <w:rPr>
          <w:rFonts w:ascii="Times New Roman" w:hAnsi="Times New Roman" w:cs="Times New Roman"/>
          <w:sz w:val="24"/>
          <w:szCs w:val="24"/>
        </w:rPr>
      </w:pPr>
      <w:r w:rsidRPr="00E612D6">
        <w:rPr>
          <w:rFonts w:ascii="Times New Roman" w:hAnsi="Times New Roman" w:cs="Times New Roman"/>
          <w:sz w:val="24"/>
          <w:szCs w:val="24"/>
        </w:rPr>
        <w:t xml:space="preserve">This week leading has offered insights about the changes taking place in the Tax cuts and Jobs Act. It has been approximated that the number of taxpayers will increase. It is essential to note that the Tax cuts and Job Act has contributed to the reduction of tax in corporate income. It was also learned that arrangements have also implemented to help in the reduction of capital investment. Lowering corporate income tax is estimated to increase the level of GDP in the long term. It is critical to understand that the huge tax cuts which are attributed to this Act will be distributed to shareholders and not to the workers as it was previously. </w:t>
      </w:r>
    </w:p>
    <w:p w:rsidR="00E07B37" w:rsidRPr="00E612D6" w:rsidRDefault="00CF6E98" w:rsidP="00E612D6">
      <w:pPr>
        <w:spacing w:line="480" w:lineRule="auto"/>
        <w:ind w:firstLine="720"/>
        <w:rPr>
          <w:rFonts w:ascii="Times New Roman" w:hAnsi="Times New Roman" w:cs="Times New Roman"/>
          <w:sz w:val="24"/>
          <w:szCs w:val="24"/>
        </w:rPr>
      </w:pPr>
      <w:r w:rsidRPr="00E612D6">
        <w:rPr>
          <w:rFonts w:ascii="Times New Roman" w:hAnsi="Times New Roman" w:cs="Times New Roman"/>
          <w:sz w:val="24"/>
          <w:szCs w:val="24"/>
        </w:rPr>
        <w:t>Additionally, this week’s resources also provided crucial information about the monetary and fiscal policies that are utilized in influencing the country’s economic activities. Ordinarily monetary policies are used in managing and controlling the supply of money as well as the interest rates in the market. These policies are mainly implemented by the central banks, and in America, it is the responsibility of the Federal Reserve. It was learned that monetary and fiscal policies had been implemented in the United States in different situations (Bekaert, Hoerova, &amp; Duca, 2013). For example, during the Great Recession, the Federal Reserve implemented these policies to deal and manage the rate of inflation, which</w:t>
      </w:r>
      <w:r w:rsidR="00E07B37" w:rsidRPr="00E612D6">
        <w:rPr>
          <w:rFonts w:ascii="Times New Roman" w:hAnsi="Times New Roman" w:cs="Times New Roman"/>
          <w:sz w:val="24"/>
          <w:szCs w:val="24"/>
        </w:rPr>
        <w:t xml:space="preserve"> was witnessed in the country. </w:t>
      </w:r>
    </w:p>
    <w:p w:rsidR="00E612D6" w:rsidRPr="00E612D6" w:rsidRDefault="00CF6E98" w:rsidP="0035337C">
      <w:pPr>
        <w:spacing w:line="480" w:lineRule="auto"/>
        <w:ind w:firstLine="720"/>
        <w:rPr>
          <w:rFonts w:ascii="Times New Roman" w:hAnsi="Times New Roman" w:cs="Times New Roman"/>
          <w:sz w:val="24"/>
          <w:szCs w:val="24"/>
        </w:rPr>
      </w:pPr>
      <w:r w:rsidRPr="00E612D6">
        <w:rPr>
          <w:rFonts w:ascii="Times New Roman" w:hAnsi="Times New Roman" w:cs="Times New Roman"/>
          <w:sz w:val="24"/>
          <w:szCs w:val="24"/>
        </w:rPr>
        <w:t xml:space="preserve">Also, different taxation principles have been discussed; these include the benefits-received principle and the ability-to-pay principle. It was discovered that people hold different views about these two taxation concepts. The benefits-received principle ensures that individuals pay for taxes to support projects that benefit them (O'Connor &amp; Faille, 2000). This principle is criticized because the disadvantaged people, such as the homeless cannot pay for their welfare. On the other side, the ability-to-pay principle requires the rich and wealthy to contribute more </w:t>
      </w:r>
      <w:r w:rsidRPr="00E612D6">
        <w:rPr>
          <w:rFonts w:ascii="Times New Roman" w:hAnsi="Times New Roman" w:cs="Times New Roman"/>
          <w:sz w:val="24"/>
          <w:szCs w:val="24"/>
        </w:rPr>
        <w:lastRenderedPageBreak/>
        <w:t xml:space="preserve">than those with low income. These are individuals who see this as a way of punishing the wealthy for their success.  </w:t>
      </w:r>
      <w:r w:rsidR="00E612D6" w:rsidRPr="00E612D6">
        <w:rPr>
          <w:rFonts w:ascii="Times New Roman" w:hAnsi="Times New Roman" w:cs="Times New Roman"/>
          <w:sz w:val="24"/>
          <w:szCs w:val="24"/>
        </w:rPr>
        <w:br w:type="page"/>
      </w:r>
    </w:p>
    <w:sdt>
      <w:sdtPr>
        <w:rPr>
          <w:rFonts w:ascii="Times New Roman" w:eastAsiaTheme="minorHAnsi" w:hAnsi="Times New Roman" w:cs="Times New Roman"/>
          <w:color w:val="auto"/>
          <w:sz w:val="24"/>
          <w:szCs w:val="24"/>
        </w:rPr>
        <w:id w:val="-908062900"/>
        <w:docPartObj>
          <w:docPartGallery w:val="Bibliographies"/>
          <w:docPartUnique/>
        </w:docPartObj>
      </w:sdtPr>
      <w:sdtEndPr/>
      <w:sdtContent>
        <w:p w:rsidR="00E612D6" w:rsidRPr="00E612D6" w:rsidRDefault="00E612D6" w:rsidP="0072377A">
          <w:pPr>
            <w:pStyle w:val="Heading1"/>
            <w:spacing w:line="480" w:lineRule="auto"/>
            <w:jc w:val="center"/>
            <w:rPr>
              <w:rFonts w:ascii="Times New Roman" w:hAnsi="Times New Roman" w:cs="Times New Roman"/>
              <w:color w:val="auto"/>
              <w:sz w:val="24"/>
              <w:szCs w:val="24"/>
            </w:rPr>
          </w:pPr>
          <w:r w:rsidRPr="00E612D6">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E612D6" w:rsidRPr="00E612D6" w:rsidRDefault="00E612D6" w:rsidP="00E612D6">
              <w:pPr>
                <w:pStyle w:val="Bibliography"/>
                <w:spacing w:line="480" w:lineRule="auto"/>
                <w:ind w:left="720" w:hanging="720"/>
                <w:rPr>
                  <w:rFonts w:ascii="Times New Roman" w:hAnsi="Times New Roman" w:cs="Times New Roman"/>
                  <w:noProof/>
                  <w:sz w:val="24"/>
                  <w:szCs w:val="24"/>
                </w:rPr>
              </w:pPr>
              <w:r w:rsidRPr="00E612D6">
                <w:rPr>
                  <w:rFonts w:ascii="Times New Roman" w:hAnsi="Times New Roman" w:cs="Times New Roman"/>
                  <w:sz w:val="24"/>
                  <w:szCs w:val="24"/>
                </w:rPr>
                <w:fldChar w:fldCharType="begin"/>
              </w:r>
              <w:r w:rsidRPr="00E612D6">
                <w:rPr>
                  <w:rFonts w:ascii="Times New Roman" w:hAnsi="Times New Roman" w:cs="Times New Roman"/>
                  <w:sz w:val="24"/>
                  <w:szCs w:val="24"/>
                </w:rPr>
                <w:instrText xml:space="preserve"> BIBLIOGRAPHY </w:instrText>
              </w:r>
              <w:r w:rsidRPr="00E612D6">
                <w:rPr>
                  <w:rFonts w:ascii="Times New Roman" w:hAnsi="Times New Roman" w:cs="Times New Roman"/>
                  <w:sz w:val="24"/>
                  <w:szCs w:val="24"/>
                </w:rPr>
                <w:fldChar w:fldCharType="separate"/>
              </w:r>
              <w:r w:rsidRPr="00E612D6">
                <w:rPr>
                  <w:rFonts w:ascii="Times New Roman" w:hAnsi="Times New Roman" w:cs="Times New Roman"/>
                  <w:noProof/>
                  <w:sz w:val="24"/>
                  <w:szCs w:val="24"/>
                </w:rPr>
                <w:t xml:space="preserve">Bekaert, G., Hoerova, M., &amp; Duca, M. L. (2013). Risk, uncertainty and monetary policy. </w:t>
              </w:r>
              <w:r w:rsidRPr="00E612D6">
                <w:rPr>
                  <w:rFonts w:ascii="Times New Roman" w:hAnsi="Times New Roman" w:cs="Times New Roman"/>
                  <w:i/>
                  <w:iCs/>
                  <w:noProof/>
                  <w:sz w:val="24"/>
                  <w:szCs w:val="24"/>
                </w:rPr>
                <w:t>Journal of Monetary Economics, 60</w:t>
              </w:r>
              <w:r w:rsidRPr="00E612D6">
                <w:rPr>
                  <w:rFonts w:ascii="Times New Roman" w:hAnsi="Times New Roman" w:cs="Times New Roman"/>
                  <w:noProof/>
                  <w:sz w:val="24"/>
                  <w:szCs w:val="24"/>
                </w:rPr>
                <w:t>(7), 771-788.</w:t>
              </w:r>
            </w:p>
            <w:p w:rsidR="00E612D6" w:rsidRPr="00E612D6" w:rsidRDefault="00E612D6" w:rsidP="00E612D6">
              <w:pPr>
                <w:pStyle w:val="Bibliography"/>
                <w:spacing w:line="480" w:lineRule="auto"/>
                <w:ind w:left="720" w:hanging="720"/>
                <w:rPr>
                  <w:rFonts w:ascii="Times New Roman" w:hAnsi="Times New Roman" w:cs="Times New Roman"/>
                  <w:noProof/>
                  <w:sz w:val="24"/>
                  <w:szCs w:val="24"/>
                </w:rPr>
              </w:pPr>
              <w:r w:rsidRPr="00E612D6">
                <w:rPr>
                  <w:rFonts w:ascii="Times New Roman" w:hAnsi="Times New Roman" w:cs="Times New Roman"/>
                  <w:noProof/>
                  <w:sz w:val="24"/>
                  <w:szCs w:val="24"/>
                </w:rPr>
                <w:t xml:space="preserve">O'Connor, D.E. &amp; Faille, C. (2000). </w:t>
              </w:r>
              <w:r w:rsidRPr="00E612D6">
                <w:rPr>
                  <w:rFonts w:ascii="Times New Roman" w:hAnsi="Times New Roman" w:cs="Times New Roman"/>
                  <w:i/>
                  <w:iCs/>
                  <w:noProof/>
                  <w:sz w:val="24"/>
                  <w:szCs w:val="24"/>
                </w:rPr>
                <w:t>Basic Economic Principles: A Guide for Students.</w:t>
              </w:r>
              <w:r w:rsidRPr="00E612D6">
                <w:rPr>
                  <w:rFonts w:ascii="Times New Roman" w:hAnsi="Times New Roman" w:cs="Times New Roman"/>
                  <w:noProof/>
                  <w:sz w:val="24"/>
                  <w:szCs w:val="24"/>
                </w:rPr>
                <w:t xml:space="preserve"> Greenwood Publishing Group.</w:t>
              </w:r>
            </w:p>
            <w:p w:rsidR="00E612D6" w:rsidRPr="00E612D6" w:rsidRDefault="00E612D6" w:rsidP="00E612D6">
              <w:pPr>
                <w:spacing w:line="480" w:lineRule="auto"/>
                <w:rPr>
                  <w:rFonts w:ascii="Times New Roman" w:hAnsi="Times New Roman" w:cs="Times New Roman"/>
                  <w:sz w:val="24"/>
                  <w:szCs w:val="24"/>
                </w:rPr>
              </w:pPr>
              <w:r w:rsidRPr="00E612D6">
                <w:rPr>
                  <w:rFonts w:ascii="Times New Roman" w:hAnsi="Times New Roman" w:cs="Times New Roman"/>
                  <w:b/>
                  <w:bCs/>
                  <w:noProof/>
                  <w:sz w:val="24"/>
                  <w:szCs w:val="24"/>
                </w:rPr>
                <w:fldChar w:fldCharType="end"/>
              </w:r>
            </w:p>
          </w:sdtContent>
        </w:sdt>
      </w:sdtContent>
    </w:sdt>
    <w:p w:rsidR="00E612D6" w:rsidRPr="00E612D6" w:rsidRDefault="00E612D6" w:rsidP="00E612D6">
      <w:pPr>
        <w:spacing w:line="480" w:lineRule="auto"/>
        <w:rPr>
          <w:rFonts w:ascii="Times New Roman" w:hAnsi="Times New Roman" w:cs="Times New Roman"/>
          <w:sz w:val="24"/>
          <w:szCs w:val="24"/>
        </w:rPr>
      </w:pPr>
    </w:p>
    <w:sectPr w:rsidR="00E612D6" w:rsidRPr="00E612D6" w:rsidSect="00E612D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2844" w:rsidRDefault="00512844" w:rsidP="00E612D6">
      <w:pPr>
        <w:spacing w:after="0" w:line="240" w:lineRule="auto"/>
      </w:pPr>
      <w:r>
        <w:separator/>
      </w:r>
    </w:p>
  </w:endnote>
  <w:endnote w:type="continuationSeparator" w:id="0">
    <w:p w:rsidR="00512844" w:rsidRDefault="00512844" w:rsidP="00E612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2844" w:rsidRDefault="00512844" w:rsidP="00E612D6">
      <w:pPr>
        <w:spacing w:after="0" w:line="240" w:lineRule="auto"/>
      </w:pPr>
      <w:r>
        <w:separator/>
      </w:r>
    </w:p>
  </w:footnote>
  <w:footnote w:type="continuationSeparator" w:id="0">
    <w:p w:rsidR="00512844" w:rsidRDefault="00512844" w:rsidP="00E612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2D6" w:rsidRPr="00E612D6" w:rsidRDefault="00E612D6">
    <w:pPr>
      <w:pStyle w:val="Header"/>
      <w:rPr>
        <w:rFonts w:ascii="Times New Roman" w:hAnsi="Times New Roman" w:cs="Times New Roman"/>
        <w:sz w:val="24"/>
        <w:szCs w:val="24"/>
      </w:rPr>
    </w:pPr>
    <w:r w:rsidRPr="00E612D6">
      <w:rPr>
        <w:rFonts w:ascii="Times New Roman" w:hAnsi="Times New Roman" w:cs="Times New Roman"/>
        <w:sz w:val="24"/>
        <w:szCs w:val="24"/>
      </w:rPr>
      <w:t xml:space="preserve">JOURNAL ENTRY </w:t>
    </w:r>
    <w:r w:rsidRPr="00E612D6">
      <w:rPr>
        <w:rFonts w:ascii="Times New Roman" w:hAnsi="Times New Roman" w:cs="Times New Roman"/>
        <w:sz w:val="24"/>
        <w:szCs w:val="24"/>
      </w:rPr>
      <w:tab/>
    </w:r>
    <w:r w:rsidRPr="00E612D6">
      <w:rPr>
        <w:rFonts w:ascii="Times New Roman" w:hAnsi="Times New Roman" w:cs="Times New Roman"/>
        <w:sz w:val="24"/>
        <w:szCs w:val="24"/>
      </w:rPr>
      <w:tab/>
    </w:r>
    <w:sdt>
      <w:sdtPr>
        <w:rPr>
          <w:rFonts w:ascii="Times New Roman" w:hAnsi="Times New Roman" w:cs="Times New Roman"/>
          <w:sz w:val="24"/>
          <w:szCs w:val="24"/>
        </w:rPr>
        <w:id w:val="1208303559"/>
        <w:docPartObj>
          <w:docPartGallery w:val="Page Numbers (Top of Page)"/>
          <w:docPartUnique/>
        </w:docPartObj>
      </w:sdtPr>
      <w:sdtEndPr>
        <w:rPr>
          <w:noProof/>
        </w:rPr>
      </w:sdtEndPr>
      <w:sdtContent>
        <w:r w:rsidRPr="00E612D6">
          <w:rPr>
            <w:rFonts w:ascii="Times New Roman" w:hAnsi="Times New Roman" w:cs="Times New Roman"/>
            <w:sz w:val="24"/>
            <w:szCs w:val="24"/>
          </w:rPr>
          <w:fldChar w:fldCharType="begin"/>
        </w:r>
        <w:r w:rsidRPr="00E612D6">
          <w:rPr>
            <w:rFonts w:ascii="Times New Roman" w:hAnsi="Times New Roman" w:cs="Times New Roman"/>
            <w:sz w:val="24"/>
            <w:szCs w:val="24"/>
          </w:rPr>
          <w:instrText xml:space="preserve"> PAGE   \* MERGEFORMAT </w:instrText>
        </w:r>
        <w:r w:rsidRPr="00E612D6">
          <w:rPr>
            <w:rFonts w:ascii="Times New Roman" w:hAnsi="Times New Roman" w:cs="Times New Roman"/>
            <w:sz w:val="24"/>
            <w:szCs w:val="24"/>
          </w:rPr>
          <w:fldChar w:fldCharType="separate"/>
        </w:r>
        <w:r w:rsidR="0072377A">
          <w:rPr>
            <w:rFonts w:ascii="Times New Roman" w:hAnsi="Times New Roman" w:cs="Times New Roman"/>
            <w:noProof/>
            <w:sz w:val="24"/>
            <w:szCs w:val="24"/>
          </w:rPr>
          <w:t>2</w:t>
        </w:r>
        <w:r w:rsidRPr="00E612D6">
          <w:rPr>
            <w:rFonts w:ascii="Times New Roman" w:hAnsi="Times New Roman" w:cs="Times New Roman"/>
            <w:noProof/>
            <w:sz w:val="24"/>
            <w:szCs w:val="24"/>
          </w:rPr>
          <w:fldChar w:fldCharType="end"/>
        </w:r>
      </w:sdtContent>
    </w:sdt>
  </w:p>
  <w:p w:rsidR="00E612D6" w:rsidRPr="00E612D6" w:rsidRDefault="00E612D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12D6" w:rsidRPr="00E612D6" w:rsidRDefault="00E612D6">
    <w:pPr>
      <w:pStyle w:val="Header"/>
      <w:rPr>
        <w:rFonts w:ascii="Times New Roman" w:hAnsi="Times New Roman" w:cs="Times New Roman"/>
        <w:sz w:val="24"/>
        <w:szCs w:val="24"/>
      </w:rPr>
    </w:pPr>
    <w:r w:rsidRPr="00E612D6">
      <w:rPr>
        <w:rFonts w:ascii="Times New Roman" w:hAnsi="Times New Roman" w:cs="Times New Roman"/>
        <w:sz w:val="24"/>
        <w:szCs w:val="24"/>
      </w:rPr>
      <w:t>Running head: JOURNAL ENTRY</w:t>
    </w:r>
    <w:r w:rsidRPr="00E612D6">
      <w:rPr>
        <w:rFonts w:ascii="Times New Roman" w:hAnsi="Times New Roman" w:cs="Times New Roman"/>
        <w:sz w:val="24"/>
        <w:szCs w:val="24"/>
      </w:rPr>
      <w:tab/>
    </w:r>
    <w:r w:rsidRPr="00E612D6">
      <w:rPr>
        <w:rFonts w:ascii="Times New Roman" w:hAnsi="Times New Roman" w:cs="Times New Roman"/>
        <w:sz w:val="24"/>
        <w:szCs w:val="24"/>
      </w:rPr>
      <w:tab/>
    </w:r>
    <w:sdt>
      <w:sdtPr>
        <w:rPr>
          <w:rFonts w:ascii="Times New Roman" w:hAnsi="Times New Roman" w:cs="Times New Roman"/>
          <w:sz w:val="24"/>
          <w:szCs w:val="24"/>
        </w:rPr>
        <w:id w:val="-780494602"/>
        <w:docPartObj>
          <w:docPartGallery w:val="Page Numbers (Top of Page)"/>
          <w:docPartUnique/>
        </w:docPartObj>
      </w:sdtPr>
      <w:sdtEndPr>
        <w:rPr>
          <w:noProof/>
        </w:rPr>
      </w:sdtEndPr>
      <w:sdtContent>
        <w:r w:rsidRPr="00E612D6">
          <w:rPr>
            <w:rFonts w:ascii="Times New Roman" w:hAnsi="Times New Roman" w:cs="Times New Roman"/>
            <w:sz w:val="24"/>
            <w:szCs w:val="24"/>
          </w:rPr>
          <w:fldChar w:fldCharType="begin"/>
        </w:r>
        <w:r w:rsidRPr="00E612D6">
          <w:rPr>
            <w:rFonts w:ascii="Times New Roman" w:hAnsi="Times New Roman" w:cs="Times New Roman"/>
            <w:sz w:val="24"/>
            <w:szCs w:val="24"/>
          </w:rPr>
          <w:instrText xml:space="preserve"> PAGE   \* MERGEFORMAT </w:instrText>
        </w:r>
        <w:r w:rsidRPr="00E612D6">
          <w:rPr>
            <w:rFonts w:ascii="Times New Roman" w:hAnsi="Times New Roman" w:cs="Times New Roman"/>
            <w:sz w:val="24"/>
            <w:szCs w:val="24"/>
          </w:rPr>
          <w:fldChar w:fldCharType="separate"/>
        </w:r>
        <w:r w:rsidR="0072377A">
          <w:rPr>
            <w:rFonts w:ascii="Times New Roman" w:hAnsi="Times New Roman" w:cs="Times New Roman"/>
            <w:noProof/>
            <w:sz w:val="24"/>
            <w:szCs w:val="24"/>
          </w:rPr>
          <w:t>1</w:t>
        </w:r>
        <w:r w:rsidRPr="00E612D6">
          <w:rPr>
            <w:rFonts w:ascii="Times New Roman" w:hAnsi="Times New Roman" w:cs="Times New Roman"/>
            <w:noProof/>
            <w:sz w:val="24"/>
            <w:szCs w:val="24"/>
          </w:rPr>
          <w:fldChar w:fldCharType="end"/>
        </w:r>
      </w:sdtContent>
    </w:sdt>
  </w:p>
  <w:p w:rsidR="00E612D6" w:rsidRPr="00E612D6" w:rsidRDefault="00E612D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5E49"/>
    <w:rsid w:val="000119F6"/>
    <w:rsid w:val="0001616F"/>
    <w:rsid w:val="000227AC"/>
    <w:rsid w:val="00050E56"/>
    <w:rsid w:val="000963C3"/>
    <w:rsid w:val="000A6C6E"/>
    <w:rsid w:val="000B795C"/>
    <w:rsid w:val="000C5E49"/>
    <w:rsid w:val="000E5CCC"/>
    <w:rsid w:val="00106183"/>
    <w:rsid w:val="001129FF"/>
    <w:rsid w:val="0012570A"/>
    <w:rsid w:val="00146433"/>
    <w:rsid w:val="001704EE"/>
    <w:rsid w:val="002218EE"/>
    <w:rsid w:val="00222A74"/>
    <w:rsid w:val="00271B97"/>
    <w:rsid w:val="002C7090"/>
    <w:rsid w:val="002E30C9"/>
    <w:rsid w:val="002E404B"/>
    <w:rsid w:val="002E644E"/>
    <w:rsid w:val="0031168B"/>
    <w:rsid w:val="003123E2"/>
    <w:rsid w:val="00330028"/>
    <w:rsid w:val="00350EB6"/>
    <w:rsid w:val="0035337C"/>
    <w:rsid w:val="003717B4"/>
    <w:rsid w:val="00387194"/>
    <w:rsid w:val="003F69E0"/>
    <w:rsid w:val="004276E9"/>
    <w:rsid w:val="00453A3D"/>
    <w:rsid w:val="004E48F6"/>
    <w:rsid w:val="004F5FDB"/>
    <w:rsid w:val="00512844"/>
    <w:rsid w:val="005631C4"/>
    <w:rsid w:val="005861D2"/>
    <w:rsid w:val="00597497"/>
    <w:rsid w:val="005A1D78"/>
    <w:rsid w:val="005A5DA3"/>
    <w:rsid w:val="005D68EA"/>
    <w:rsid w:val="00606AF6"/>
    <w:rsid w:val="00615875"/>
    <w:rsid w:val="00627FE5"/>
    <w:rsid w:val="0064082A"/>
    <w:rsid w:val="00653584"/>
    <w:rsid w:val="006614B2"/>
    <w:rsid w:val="006646B3"/>
    <w:rsid w:val="006762C3"/>
    <w:rsid w:val="00684322"/>
    <w:rsid w:val="00685EE1"/>
    <w:rsid w:val="0069344B"/>
    <w:rsid w:val="006A1CDF"/>
    <w:rsid w:val="006A71B7"/>
    <w:rsid w:val="006D41B3"/>
    <w:rsid w:val="006F77E4"/>
    <w:rsid w:val="00701946"/>
    <w:rsid w:val="00701FAD"/>
    <w:rsid w:val="00710DF6"/>
    <w:rsid w:val="00711454"/>
    <w:rsid w:val="00720379"/>
    <w:rsid w:val="0072377A"/>
    <w:rsid w:val="0072396B"/>
    <w:rsid w:val="007279D3"/>
    <w:rsid w:val="007328FD"/>
    <w:rsid w:val="00736015"/>
    <w:rsid w:val="007A30BB"/>
    <w:rsid w:val="007A5FA3"/>
    <w:rsid w:val="007B68DB"/>
    <w:rsid w:val="007C76FC"/>
    <w:rsid w:val="007F48D9"/>
    <w:rsid w:val="00821F0E"/>
    <w:rsid w:val="00837433"/>
    <w:rsid w:val="008A19CC"/>
    <w:rsid w:val="008B5CEF"/>
    <w:rsid w:val="008B61D3"/>
    <w:rsid w:val="008C0025"/>
    <w:rsid w:val="008C6034"/>
    <w:rsid w:val="008E1A0E"/>
    <w:rsid w:val="008E7C60"/>
    <w:rsid w:val="00910F80"/>
    <w:rsid w:val="00934FA1"/>
    <w:rsid w:val="009B25FA"/>
    <w:rsid w:val="009B6450"/>
    <w:rsid w:val="009C4C1A"/>
    <w:rsid w:val="009F2FA2"/>
    <w:rsid w:val="00A07FC7"/>
    <w:rsid w:val="00A156EE"/>
    <w:rsid w:val="00A3620C"/>
    <w:rsid w:val="00AA3541"/>
    <w:rsid w:val="00AB6C5A"/>
    <w:rsid w:val="00AD168D"/>
    <w:rsid w:val="00B25635"/>
    <w:rsid w:val="00B357E1"/>
    <w:rsid w:val="00BA3027"/>
    <w:rsid w:val="00BA61D2"/>
    <w:rsid w:val="00BB1173"/>
    <w:rsid w:val="00C06385"/>
    <w:rsid w:val="00C2013F"/>
    <w:rsid w:val="00C34719"/>
    <w:rsid w:val="00C353A6"/>
    <w:rsid w:val="00C47374"/>
    <w:rsid w:val="00C53A2D"/>
    <w:rsid w:val="00C639D5"/>
    <w:rsid w:val="00C65005"/>
    <w:rsid w:val="00C82D22"/>
    <w:rsid w:val="00C839C1"/>
    <w:rsid w:val="00C94050"/>
    <w:rsid w:val="00CB2281"/>
    <w:rsid w:val="00CB2D76"/>
    <w:rsid w:val="00CB74C1"/>
    <w:rsid w:val="00CC031C"/>
    <w:rsid w:val="00CC7AF0"/>
    <w:rsid w:val="00CE3F26"/>
    <w:rsid w:val="00CE6CB1"/>
    <w:rsid w:val="00CF6E98"/>
    <w:rsid w:val="00D17E15"/>
    <w:rsid w:val="00D60143"/>
    <w:rsid w:val="00D85D45"/>
    <w:rsid w:val="00D90B26"/>
    <w:rsid w:val="00D90B6E"/>
    <w:rsid w:val="00DA7F82"/>
    <w:rsid w:val="00DB7AFE"/>
    <w:rsid w:val="00DC02CB"/>
    <w:rsid w:val="00DD66B7"/>
    <w:rsid w:val="00DF03A5"/>
    <w:rsid w:val="00E07B37"/>
    <w:rsid w:val="00E16425"/>
    <w:rsid w:val="00E53180"/>
    <w:rsid w:val="00E57B9E"/>
    <w:rsid w:val="00E612D6"/>
    <w:rsid w:val="00EB3D5D"/>
    <w:rsid w:val="00F01FB9"/>
    <w:rsid w:val="00F11270"/>
    <w:rsid w:val="00F116FC"/>
    <w:rsid w:val="00F21658"/>
    <w:rsid w:val="00F21D54"/>
    <w:rsid w:val="00F34A53"/>
    <w:rsid w:val="00F443D7"/>
    <w:rsid w:val="00F500F8"/>
    <w:rsid w:val="00F7383D"/>
    <w:rsid w:val="00F81800"/>
    <w:rsid w:val="00F949F4"/>
    <w:rsid w:val="00FA25A7"/>
    <w:rsid w:val="00FB0DC2"/>
    <w:rsid w:val="00FD16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612D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2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2D6"/>
  </w:style>
  <w:style w:type="paragraph" w:styleId="Footer">
    <w:name w:val="footer"/>
    <w:basedOn w:val="Normal"/>
    <w:link w:val="FooterChar"/>
    <w:uiPriority w:val="99"/>
    <w:unhideWhenUsed/>
    <w:rsid w:val="00E612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2D6"/>
  </w:style>
  <w:style w:type="character" w:customStyle="1" w:styleId="Heading1Char">
    <w:name w:val="Heading 1 Char"/>
    <w:basedOn w:val="DefaultParagraphFont"/>
    <w:link w:val="Heading1"/>
    <w:uiPriority w:val="9"/>
    <w:rsid w:val="00E612D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E612D6"/>
  </w:style>
  <w:style w:type="paragraph" w:styleId="BalloonText">
    <w:name w:val="Balloon Text"/>
    <w:basedOn w:val="Normal"/>
    <w:link w:val="BalloonTextChar"/>
    <w:uiPriority w:val="99"/>
    <w:semiHidden/>
    <w:unhideWhenUsed/>
    <w:rsid w:val="007237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377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612D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2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2D6"/>
  </w:style>
  <w:style w:type="paragraph" w:styleId="Footer">
    <w:name w:val="footer"/>
    <w:basedOn w:val="Normal"/>
    <w:link w:val="FooterChar"/>
    <w:uiPriority w:val="99"/>
    <w:unhideWhenUsed/>
    <w:rsid w:val="00E612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2D6"/>
  </w:style>
  <w:style w:type="character" w:customStyle="1" w:styleId="Heading1Char">
    <w:name w:val="Heading 1 Char"/>
    <w:basedOn w:val="DefaultParagraphFont"/>
    <w:link w:val="Heading1"/>
    <w:uiPriority w:val="9"/>
    <w:rsid w:val="00E612D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E612D6"/>
  </w:style>
  <w:style w:type="paragraph" w:styleId="BalloonText">
    <w:name w:val="Balloon Text"/>
    <w:basedOn w:val="Normal"/>
    <w:link w:val="BalloonTextChar"/>
    <w:uiPriority w:val="99"/>
    <w:semiHidden/>
    <w:unhideWhenUsed/>
    <w:rsid w:val="007237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37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527968">
      <w:bodyDiv w:val="1"/>
      <w:marLeft w:val="0"/>
      <w:marRight w:val="0"/>
      <w:marTop w:val="0"/>
      <w:marBottom w:val="0"/>
      <w:divBdr>
        <w:top w:val="none" w:sz="0" w:space="0" w:color="auto"/>
        <w:left w:val="none" w:sz="0" w:space="0" w:color="auto"/>
        <w:bottom w:val="none" w:sz="0" w:space="0" w:color="auto"/>
        <w:right w:val="none" w:sz="0" w:space="0" w:color="auto"/>
      </w:divBdr>
    </w:div>
    <w:div w:id="913508602">
      <w:bodyDiv w:val="1"/>
      <w:marLeft w:val="0"/>
      <w:marRight w:val="0"/>
      <w:marTop w:val="0"/>
      <w:marBottom w:val="0"/>
      <w:divBdr>
        <w:top w:val="none" w:sz="0" w:space="0" w:color="auto"/>
        <w:left w:val="none" w:sz="0" w:space="0" w:color="auto"/>
        <w:bottom w:val="none" w:sz="0" w:space="0" w:color="auto"/>
        <w:right w:val="none" w:sz="0" w:space="0" w:color="auto"/>
      </w:divBdr>
    </w:div>
    <w:div w:id="1916209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OCo001</b:Tag>
    <b:SourceType>Book</b:SourceType>
    <b:Guid>{D1B26D87-0F62-4315-8564-BC9CA7097C01}</b:Guid>
    <b:Author>
      <b:Author>
        <b:Corporate>O'Connor, D.E. &amp; Faille, C.</b:Corporate>
      </b:Author>
    </b:Author>
    <b:Title>Basic Economic Principles: A Guide for Students</b:Title>
    <b:Year>2000</b:Year>
    <b:Publisher>Greenwood Publishing Group</b:Publisher>
    <b:RefOrder>1</b:RefOrder>
  </b:Source>
  <b:Source>
    <b:Tag>Bek13</b:Tag>
    <b:SourceType>JournalArticle</b:SourceType>
    <b:Guid>{07A5DED0-C4CF-4244-9E53-9DD30D659161}</b:Guid>
    <b:Title>Risk, uncertainty and monetary policy</b:Title>
    <b:Year>2013</b:Year>
    <b:Author>
      <b:Author>
        <b:Corporate>Bekaert, G., Hoerova, M., &amp; Duca, M. L.</b:Corporate>
      </b:Author>
    </b:Author>
    <b:JournalName>Journal of Monetary Economics</b:JournalName>
    <b:Pages>771-788</b:Pages>
    <b:Volume>60</b:Volume>
    <b:Issue>7</b:Issue>
    <b:RefOrder>2</b:RefOrder>
  </b:Source>
</b:Sources>
</file>

<file path=customXml/itemProps1.xml><?xml version="1.0" encoding="utf-8"?>
<ds:datastoreItem xmlns:ds="http://schemas.openxmlformats.org/officeDocument/2006/customXml" ds:itemID="{F0D017D0-300A-45BE-B25B-C035709F2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Pages>
  <Words>364</Words>
  <Characters>2079</Characters>
  <Application>Microsoft Office Word</Application>
  <DocSecurity>0</DocSecurity>
  <Lines>17</Lines>
  <Paragraphs>4</Paragraphs>
  <ScaleCrop>false</ScaleCrop>
  <Company/>
  <LinksUpToDate>false</LinksUpToDate>
  <CharactersWithSpaces>2439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dc:creator>
  <cp:keywords/>
  <dc:description/>
  <cp:lastModifiedBy>User</cp:lastModifiedBy>
  <cp:revision>160</cp:revision>
  <dcterms:created xsi:type="dcterms:W3CDTF">2019-07-12T16:15:00Z</dcterms:created>
  <dcterms:modified xsi:type="dcterms:W3CDTF">2019-07-13T11:40:00Z</dcterms:modified>
</cp:coreProperties>
</file>